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18"/>
          <w:rtl w:val="0"/>
        </w:rPr>
        <w:t xml:space="preserve">Hartford Area Career and Technology Center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18"/>
          <w:rtl w:val="0"/>
        </w:rPr>
        <w:t xml:space="preserve">Action Plan/School Improvement Plan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z w:val="18"/>
          <w:rtl w:val="0"/>
        </w:rPr>
        <w:t xml:space="preserve">2013-2016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Goal Area: Communication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Critical Need: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HSD Ends Policy 1.0: “Students will perform at a high level in these crucial areas of academic expertise: reading skills for information and interpretation ...written and verbal communication skills.” 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HACTC Mission Statement: “Learners communicate effectively.”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Data Sources:</w:t>
      </w:r>
      <w:r w:rsidRPr="00000000" w:rsidR="00000000" w:rsidDel="00000000">
        <w:rPr>
          <w:sz w:val="18"/>
          <w:rtl w:val="0"/>
        </w:rPr>
        <w:t xml:space="preserve"> NECAP Reading and Writing Assessments, Student Portfolios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 </w:t>
      </w:r>
    </w:p>
    <w:tbl>
      <w:tblPr>
        <w:tblW w:w="1224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00"/>
        <w:gridCol w:w="4560"/>
        <w:gridCol w:w="4980"/>
        <w:gridCol w:w="240"/>
        <w:gridCol w:w="240"/>
        <w:gridCol w:w="240"/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Students will effectively communicate in the written and verbal form.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In every HACTC program curriculum, focus, form, voice, depth, and audience will be used to teach, assess, and discuss written and verbal communications.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2. The HACTC will strengthen its connections to the sending schools English curriculums.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Students’ portfolio writing will show a better understanding of the identified audience.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2. Students will speak at or in the following events: awards assemblies, open house, recruiting visits, marketing and social media promotions, CTSO competitions, Town Meeting, and classroom presentations.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3. Students NECAP and SBAC Reading and Writing Assessment scores will make progress towards the State benchmarks as outlined in the School Improvement Plan as 1s1.    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Goal Area: Assessment/Student Performance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Critical Need: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sz w:val="18"/>
          <w:rtl w:val="0"/>
        </w:rPr>
        <w:t xml:space="preserve">1. </w:t>
      </w:r>
      <w:r w:rsidRPr="00000000" w:rsidR="00000000" w:rsidDel="00000000">
        <w:rPr>
          <w:b w:val="1"/>
          <w:sz w:val="18"/>
          <w:rtl w:val="0"/>
        </w:rPr>
        <w:t xml:space="preserve"> </w:t>
      </w:r>
      <w:r w:rsidRPr="00000000" w:rsidR="00000000" w:rsidDel="00000000">
        <w:rPr>
          <w:sz w:val="18"/>
          <w:rtl w:val="0"/>
        </w:rPr>
        <w:t xml:space="preserve">HSD Ends Policy 1.0: “Students will perform at a high level in these crucial areas of academic expertise: ...problem-solving skills based on mathematical, scientific, and social-scientific knowledge demonstrated through application.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HACTC Mission Statement: “Learners solve problems and think critically” 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ab/>
        <w:tab/>
        <w:tab/>
        <w:t xml:space="preserve">     “Evidence of learning results from applied occupational, academic, and technological practice.”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ab/>
        <w:tab/>
        <w:tab/>
        <w:t xml:space="preserve">     “Reflection complements learning.”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Data Source: </w:t>
      </w:r>
      <w:r w:rsidRPr="00000000" w:rsidR="00000000" w:rsidDel="00000000">
        <w:rPr>
          <w:sz w:val="18"/>
          <w:rtl w:val="0"/>
        </w:rPr>
        <w:t xml:space="preserve">NECAP Math Assessments, State End-of-Program Technical Assessments, Portfolios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 </w:t>
      </w:r>
    </w:p>
    <w:tbl>
      <w:tblPr>
        <w:tblW w:w="1224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00"/>
        <w:gridCol w:w="4560"/>
        <w:gridCol w:w="4980"/>
        <w:gridCol w:w="240"/>
        <w:gridCol w:w="240"/>
        <w:gridCol w:w="240"/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Students will connect their learning to the program Competency and Task Lists, Common Core State Standards, and Foundation Skills.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Teachers will align their lesson plans with program Competency and Task Lists, Common Core State Standards, and Foundation Skills.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2. Portfolios will become the main assessment tool for teachers and students.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3. Using the English and Math Advisory Committees, the HACTC will create stronger curriculum connections to the sending schools.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Students’ portfolios will evidence their learning in regards to progress and achievement.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2. Students’ NECAP and SBAC Math Assessment results will make progress towards the State benchmarks of 30% as outlined in the School Improvement plan as 1s2.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3. Students’ End-of-Program State Technical Assessment results will make progress towards the State benchmark of 74% achievement as outlined in the School Improvement Plan as 2s1.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372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70"/>
        <w:gridCol w:w="1650"/>
      </w:tblGrid>
    </w:tbl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Goal Area: Technology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Critical Need: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HSD Ends Policy 1.1: “Students will be proficient in a variety of ways that are responsible, are respectful, and enhance both academic and life skills.”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HACTC Mission Statement: “Evidence of learning results from applied occupational, academic, and technological practice.”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Data Source: </w:t>
      </w:r>
      <w:r w:rsidRPr="00000000" w:rsidR="00000000" w:rsidDel="00000000">
        <w:rPr>
          <w:sz w:val="18"/>
          <w:rtl w:val="0"/>
        </w:rPr>
        <w:t xml:space="preserve">Advisory Committees</w:t>
      </w:r>
      <w:r w:rsidRPr="00000000" w:rsidR="00000000" w:rsidDel="00000000">
        <w:rPr>
          <w:rtl w:val="0"/>
        </w:rPr>
      </w:r>
    </w:p>
    <w:tbl>
      <w:tblPr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2960"/>
      </w:tblGrid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224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00"/>
        <w:gridCol w:w="4560"/>
        <w:gridCol w:w="4980"/>
        <w:gridCol w:w="240"/>
        <w:gridCol w:w="240"/>
        <w:gridCol w:w="240"/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Students will use technology to enhance and evidence their learning.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Through consistent professional development, teachers will increase their digital fluency so as to best instruct and assess their students’ learning.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2. Teachers and students will use Google Apps For Education to plan, organize, deliver, assess, and communicate learning.  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Students will create digital portfolios evidencing program Competency and Task Lists, Common Core State Standards, and Foundation Skills. 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Goal Area: Climate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Critical Need: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HSD Ends Policy 2.0: “ Students will demonstrate the qualities essential for succeeding within and outside of the school setting, including integrity, tolerance, self-motivation, and work ethic, intellectual curiosity, and respect for themselves and others.”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HSD Ends Policy 3.0: “Students will demonstrate and understanding and appreciation of how their actions integrate with broader society, and participate actively and positively within their school and community.”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HSD Mission Statement: “Learning occurs in a respectful, safe, positive, and equitable community.”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ab/>
        <w:tab/>
        <w:tab/>
        <w:t xml:space="preserve"> “Purposeful relationships between students and educator enhance learning.”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Data Source: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Non-traditional Participation and Completion rate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HACTC Student Climate Survey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224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00"/>
        <w:gridCol w:w="4560"/>
        <w:gridCol w:w="4980"/>
        <w:gridCol w:w="240"/>
        <w:gridCol w:w="240"/>
        <w:gridCol w:w="240"/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Students will feel safe and respected at the HACTC.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HACTC Staff will receive professional development on how to teach behaviorally-challenging students.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2. Students will take the HACTC Climate Survey and the data will be examined by the Staff.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3. A student Leadership Team will be created to provide the Director with input on the school climate.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4. The HACTC will continue to explore strategies to recruit and retain non-traditional students. For example, utilizing non-traditional speakers and role models as well as ensuring promotional materials are gender balanced.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Non-traditional Participation rate will make progress towards the State benchmark of 16.85% as outlined in the School Improvement Plan as 6s1.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2. Non-traditional Completion rate will make progress towards the State benchmark of 16.85% as outlined in the School Improvement Plan as 6s2.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3. Data on the HACTC Climate Survey will continue to show 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 </w:t>
      </w:r>
    </w:p>
    <w:tbl>
      <w:tblPr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2960"/>
      </w:tblGrid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224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00"/>
        <w:gridCol w:w="4560"/>
        <w:gridCol w:w="4980"/>
      </w:tblGrid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Goal Area: Curriculum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Critical Need: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1. HSD Ends Policy 2.0: “ Students will demonstrate the qualities essential for succeeding within and outside of the school setting, including integrity, tolerance, self-motivation, and work ethic, intellectual curiosity, and respect for themselves and others.”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2. HACTC Mission Statement: “Learning creates and sustains strong, caring individuals.”</w:t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ab/>
        <w:tab/>
        <w:tab/>
        <w:t xml:space="preserve">     “Learning and service strengthen the greater community.”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18"/>
          <w:rtl w:val="0"/>
        </w:rPr>
        <w:t xml:space="preserve">Data Source:</w:t>
      </w:r>
      <w:r w:rsidRPr="00000000" w:rsidR="00000000" w:rsidDel="00000000">
        <w:rPr>
          <w:sz w:val="18"/>
          <w:rtl w:val="0"/>
        </w:rPr>
        <w:t xml:space="preserve"> </w:t>
      </w:r>
    </w:p>
    <w:tbl>
      <w:tblPr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2960"/>
      </w:tblGrid>
    </w:tbl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 </w:t>
      </w:r>
    </w:p>
    <w:tbl>
      <w:tblPr>
        <w:tblW w:w="1224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00"/>
        <w:gridCol w:w="4560"/>
        <w:gridCol w:w="4980"/>
        <w:gridCol w:w="240"/>
        <w:gridCol w:w="240"/>
        <w:gridCol w:w="240"/>
      </w:tblGrid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Strategies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b w:val="1"/>
                <w:sz w:val="18"/>
                <w:rtl w:val="0"/>
              </w:rPr>
              <w:t xml:space="preserve">Evidence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Students will learn the importance of using their skills and talents to strengthen their communities. 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Community service projects will be made available to students.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2. Community service by students will be celebrated and promoted.    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sz w:val="18"/>
                <w:rtl w:val="0"/>
              </w:rPr>
              <w:t xml:space="preserve">1. Students will evidence in their portfolios the learning that occurred through participation in community service.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HACTC Action Plan 2013-2014.docx</dc:title>
</cp:coreProperties>
</file>